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6EFA" w14:textId="4A6A110F" w:rsidR="00B6404F" w:rsidRDefault="009B764D" w:rsidP="009B76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DTE: Explanation on the difference </w:t>
      </w:r>
      <w:r w:rsidR="00B45D8E">
        <w:rPr>
          <w:rFonts w:ascii="Arial" w:hAnsi="Arial"/>
          <w:b/>
          <w:sz w:val="20"/>
          <w:szCs w:val="20"/>
          <w:lang w:val="vi-VN"/>
        </w:rPr>
        <w:t>in the Income Statement</w:t>
      </w:r>
      <w:r>
        <w:rPr>
          <w:rFonts w:ascii="Arial" w:hAnsi="Arial"/>
          <w:b/>
          <w:sz w:val="20"/>
          <w:szCs w:val="20"/>
        </w:rPr>
        <w:t xml:space="preserve"> in the </w:t>
      </w:r>
      <w:r w:rsidR="00936A11">
        <w:rPr>
          <w:rFonts w:ascii="Arial" w:hAnsi="Arial"/>
          <w:b/>
          <w:sz w:val="20"/>
          <w:szCs w:val="20"/>
        </w:rPr>
        <w:t xml:space="preserve">Separate </w:t>
      </w:r>
      <w:r>
        <w:rPr>
          <w:rFonts w:ascii="Arial" w:hAnsi="Arial"/>
          <w:b/>
          <w:sz w:val="20"/>
          <w:szCs w:val="20"/>
        </w:rPr>
        <w:t>Semi-</w:t>
      </w:r>
      <w:r w:rsidR="00936A11">
        <w:rPr>
          <w:rFonts w:ascii="Arial" w:hAnsi="Arial"/>
          <w:b/>
          <w:sz w:val="20"/>
          <w:szCs w:val="20"/>
        </w:rPr>
        <w:t>A</w:t>
      </w:r>
      <w:r>
        <w:rPr>
          <w:rFonts w:ascii="Arial" w:hAnsi="Arial"/>
          <w:b/>
          <w:sz w:val="20"/>
          <w:szCs w:val="20"/>
        </w:rPr>
        <w:t>nnual Financial Statements 2021</w:t>
      </w:r>
    </w:p>
    <w:p w14:paraId="6A534F20" w14:textId="0F2631DF" w:rsidR="00B6404F" w:rsidRDefault="009B764D" w:rsidP="009B76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On September 2</w:t>
      </w:r>
      <w:r w:rsidR="00936A11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, 2021, Dai Truong </w:t>
      </w:r>
      <w:proofErr w:type="spellStart"/>
      <w:r>
        <w:rPr>
          <w:rFonts w:ascii="Arial" w:hAnsi="Arial"/>
          <w:sz w:val="20"/>
          <w:szCs w:val="20"/>
        </w:rPr>
        <w:t>Thanh</w:t>
      </w:r>
      <w:proofErr w:type="spellEnd"/>
      <w:r>
        <w:rPr>
          <w:rFonts w:ascii="Arial" w:hAnsi="Arial"/>
          <w:sz w:val="20"/>
          <w:szCs w:val="20"/>
        </w:rPr>
        <w:t xml:space="preserve"> Holdings Energy Investment Joint Stock Company announced Official Dispatch No. 46/2021/QD-DTT-BKT explaining the difference of production and business results in the</w:t>
      </w:r>
      <w:r w:rsidR="00936A11">
        <w:rPr>
          <w:rFonts w:ascii="Arial" w:hAnsi="Arial"/>
          <w:sz w:val="20"/>
          <w:szCs w:val="20"/>
        </w:rPr>
        <w:t xml:space="preserve"> Separate</w:t>
      </w:r>
      <w:r>
        <w:rPr>
          <w:rFonts w:ascii="Arial" w:hAnsi="Arial"/>
          <w:sz w:val="20"/>
          <w:szCs w:val="20"/>
        </w:rPr>
        <w:t xml:space="preserve"> Semi-</w:t>
      </w:r>
      <w:r w:rsidR="00936A1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nnual Financial Statements 2021, specifically as follows:</w:t>
      </w:r>
    </w:p>
    <w:p w14:paraId="190F6475" w14:textId="779A8DAA" w:rsidR="00B6404F" w:rsidRDefault="009B764D" w:rsidP="009B76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  <w:szCs w:val="20"/>
        </w:rPr>
        <w:t xml:space="preserve">The semi-annual profit after tax of 2021 in the Company's </w:t>
      </w:r>
      <w:r w:rsidR="00936A11">
        <w:rPr>
          <w:rFonts w:ascii="Arial" w:hAnsi="Arial"/>
          <w:sz w:val="20"/>
          <w:szCs w:val="20"/>
        </w:rPr>
        <w:t xml:space="preserve">Reviewed </w:t>
      </w:r>
      <w:r>
        <w:rPr>
          <w:rFonts w:ascii="Arial" w:hAnsi="Arial"/>
          <w:sz w:val="20"/>
          <w:szCs w:val="20"/>
        </w:rPr>
        <w:t>Separate Income Statement</w:t>
      </w:r>
      <w:r w:rsidR="00936A1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changed </w:t>
      </w:r>
      <w:r w:rsidR="00936A11">
        <w:rPr>
          <w:rFonts w:ascii="Arial" w:hAnsi="Arial"/>
          <w:sz w:val="20"/>
          <w:szCs w:val="20"/>
        </w:rPr>
        <w:t>over</w:t>
      </w:r>
      <w:r>
        <w:rPr>
          <w:rFonts w:ascii="Arial" w:hAnsi="Arial"/>
          <w:sz w:val="20"/>
          <w:szCs w:val="20"/>
        </w:rPr>
        <w:t xml:space="preserve"> 10% </w:t>
      </w:r>
      <w:r w:rsidR="00936A11">
        <w:rPr>
          <w:rFonts w:ascii="Arial" w:hAnsi="Arial"/>
          <w:sz w:val="20"/>
          <w:szCs w:val="20"/>
        </w:rPr>
        <w:t>year-on-year</w:t>
      </w:r>
      <w:r>
        <w:rPr>
          <w:rFonts w:ascii="Arial" w:hAnsi="Arial"/>
          <w:sz w:val="20"/>
          <w:szCs w:val="20"/>
        </w:rPr>
        <w:t>, specifically: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3286"/>
        <w:gridCol w:w="1953"/>
        <w:gridCol w:w="1953"/>
        <w:gridCol w:w="1818"/>
      </w:tblGrid>
      <w:tr w:rsidR="00B6404F" w14:paraId="5B9A7A18" w14:textId="77777777" w:rsidTr="009B764D">
        <w:trPr>
          <w:trHeight w:val="20"/>
        </w:trPr>
        <w:tc>
          <w:tcPr>
            <w:tcW w:w="1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D8A35" w14:textId="77777777" w:rsidR="00B6404F" w:rsidRPr="00B93167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3167">
              <w:rPr>
                <w:rFonts w:ascii="Arial" w:hAnsi="Arial"/>
                <w:sz w:val="20"/>
                <w:szCs w:val="20"/>
              </w:rPr>
              <w:t>Targets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FC0BD1" w14:textId="60184134" w:rsidR="00B6404F" w:rsidRPr="00B93167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3167">
              <w:rPr>
                <w:rFonts w:ascii="Arial" w:hAnsi="Arial"/>
                <w:sz w:val="20"/>
                <w:szCs w:val="20"/>
              </w:rPr>
              <w:t>Semi-</w:t>
            </w:r>
            <w:r w:rsidR="00936A11">
              <w:rPr>
                <w:rFonts w:ascii="Arial" w:hAnsi="Arial"/>
                <w:sz w:val="20"/>
                <w:szCs w:val="20"/>
              </w:rPr>
              <w:t>A</w:t>
            </w:r>
            <w:r w:rsidRPr="00B93167">
              <w:rPr>
                <w:rFonts w:ascii="Arial" w:hAnsi="Arial"/>
                <w:sz w:val="20"/>
                <w:szCs w:val="20"/>
              </w:rPr>
              <w:t>nnual Income Statement 2021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5E0E71" w14:textId="5EC0154F" w:rsidR="00B6404F" w:rsidRPr="00B93167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3167">
              <w:rPr>
                <w:rFonts w:ascii="Arial" w:hAnsi="Arial"/>
                <w:sz w:val="20"/>
                <w:szCs w:val="20"/>
              </w:rPr>
              <w:t>Semi-</w:t>
            </w:r>
            <w:r w:rsidR="00936A11">
              <w:rPr>
                <w:rFonts w:ascii="Arial" w:hAnsi="Arial"/>
                <w:sz w:val="20"/>
                <w:szCs w:val="20"/>
              </w:rPr>
              <w:t>A</w:t>
            </w:r>
            <w:r w:rsidRPr="00B93167">
              <w:rPr>
                <w:rFonts w:ascii="Arial" w:hAnsi="Arial"/>
                <w:sz w:val="20"/>
                <w:szCs w:val="20"/>
              </w:rPr>
              <w:t>nnual Income Statement 2020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CE3C2" w14:textId="77777777" w:rsidR="00B6404F" w:rsidRPr="00B93167" w:rsidRDefault="009B764D" w:rsidP="00B9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460"/>
              <w:rPr>
                <w:rFonts w:ascii="Arial" w:eastAsia="Arial" w:hAnsi="Arial" w:cs="Arial"/>
                <w:sz w:val="20"/>
                <w:szCs w:val="20"/>
              </w:rPr>
            </w:pPr>
            <w:r w:rsidRPr="00B93167">
              <w:rPr>
                <w:rFonts w:ascii="Arial" w:hAnsi="Arial"/>
                <w:sz w:val="20"/>
                <w:szCs w:val="20"/>
              </w:rPr>
              <w:t>Difference</w:t>
            </w:r>
          </w:p>
        </w:tc>
      </w:tr>
      <w:tr w:rsidR="00B6404F" w14:paraId="17B6D68E" w14:textId="77777777" w:rsidTr="009B764D">
        <w:trPr>
          <w:trHeight w:val="20"/>
        </w:trPr>
        <w:tc>
          <w:tcPr>
            <w:tcW w:w="1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4AC4C8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Revenue from financial activities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C133B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4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386,795,866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AB1D3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3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388,938</w:t>
            </w:r>
            <w:bookmarkStart w:id="1" w:name="_GoBack"/>
            <w:bookmarkEnd w:id="1"/>
            <w:r>
              <w:rPr>
                <w:rFonts w:ascii="Arial" w:hAnsi="Arial"/>
                <w:sz w:val="20"/>
                <w:szCs w:val="20"/>
              </w:rPr>
              <w:t>,495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4BB01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-1%</w:t>
            </w:r>
          </w:p>
        </w:tc>
      </w:tr>
      <w:tr w:rsidR="00B6404F" w14:paraId="674D9BED" w14:textId="77777777" w:rsidTr="009B764D">
        <w:trPr>
          <w:trHeight w:val="20"/>
        </w:trPr>
        <w:tc>
          <w:tcPr>
            <w:tcW w:w="1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51BA1C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Financial expense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5DAAAC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4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810,265,733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974E9" w14:textId="77777777" w:rsidR="00B6404F" w:rsidRDefault="00B6404F" w:rsidP="009B764D">
            <w:pP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6BBC0" w14:textId="0F1BE1D4" w:rsidR="00B6404F" w:rsidRDefault="009B764D" w:rsidP="00EB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81026573300%</w:t>
            </w:r>
          </w:p>
        </w:tc>
      </w:tr>
      <w:tr w:rsidR="00B6404F" w14:paraId="143D3784" w14:textId="77777777" w:rsidTr="009B764D">
        <w:trPr>
          <w:trHeight w:val="20"/>
        </w:trPr>
        <w:tc>
          <w:tcPr>
            <w:tcW w:w="1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3B196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General and administrative expense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07CD8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4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299,748,031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22A88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748,178,436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8688DD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-60%</w:t>
            </w:r>
          </w:p>
        </w:tc>
      </w:tr>
      <w:tr w:rsidR="00B6404F" w14:paraId="5A03CB6A" w14:textId="77777777" w:rsidTr="009B764D">
        <w:trPr>
          <w:trHeight w:val="20"/>
        </w:trPr>
        <w:tc>
          <w:tcPr>
            <w:tcW w:w="1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78365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 profit from business activities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87542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2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(723,217,898)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474E53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1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(359,239,942)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94AED3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-101%</w:t>
            </w:r>
          </w:p>
        </w:tc>
      </w:tr>
      <w:tr w:rsidR="00B6404F" w14:paraId="28BDE98A" w14:textId="77777777" w:rsidTr="009B764D">
        <w:trPr>
          <w:trHeight w:val="20"/>
        </w:trPr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F7786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Accounting profit after tax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93D9A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2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(723,217,898)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D0255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 w:firstLine="1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(359,239,941)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F31FF" w14:textId="77777777" w:rsidR="00B6404F" w:rsidRDefault="009B764D" w:rsidP="009B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7"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-101%</w:t>
            </w:r>
          </w:p>
        </w:tc>
      </w:tr>
    </w:tbl>
    <w:p w14:paraId="18B52E2C" w14:textId="5DC9A34F" w:rsidR="00B6404F" w:rsidRDefault="009B764D" w:rsidP="009B764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Reasons for difference: Although general and administrative expense decreased by 60% compared to that of the same period last year</w:t>
      </w:r>
      <w:r w:rsidR="00936A11">
        <w:rPr>
          <w:rFonts w:ascii="Arial" w:hAnsi="Arial"/>
          <w:sz w:val="20"/>
          <w:szCs w:val="20"/>
        </w:rPr>
        <w:t>, b</w:t>
      </w:r>
      <w:r>
        <w:rPr>
          <w:rFonts w:ascii="Arial" w:hAnsi="Arial"/>
          <w:sz w:val="20"/>
          <w:szCs w:val="20"/>
        </w:rPr>
        <w:t>ut financial expense increased sharply due to the impact of provisioning for investments in Middle Part Viet Nam Hydroelectricity Investing Joint Stock Company according to Circular No. 48/2019/TT-BTC of the Ministry of Finance. Therefore, profit after tax decreased sharply</w:t>
      </w:r>
      <w:r w:rsidR="00936A1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from a loss of VND 359,239,941 to a loss of VND 723,217,898.</w:t>
      </w:r>
    </w:p>
    <w:sectPr w:rsidR="00B6404F" w:rsidSect="009B764D">
      <w:pgSz w:w="11900" w:h="16840" w:code="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zU1MTA2tzABspR0lIJTi4sz8/NACgxrAesd2wAsAAAA"/>
  </w:docVars>
  <w:rsids>
    <w:rsidRoot w:val="00B6404F"/>
    <w:rsid w:val="00380EF7"/>
    <w:rsid w:val="00936A11"/>
    <w:rsid w:val="009B764D"/>
    <w:rsid w:val="00B45D8E"/>
    <w:rsid w:val="00B6404F"/>
    <w:rsid w:val="00B93167"/>
    <w:rsid w:val="00E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4FA1"/>
  <w15:docId w15:val="{29C306DA-1F60-446F-B229-A8FB9E8A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  <w:lang w:eastAsia="vi-VN" w:bidi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u w:val="none"/>
    </w:rPr>
  </w:style>
  <w:style w:type="paragraph" w:customStyle="1" w:styleId="Vnbnnidung0">
    <w:name w:val="Văn bản nội dung"/>
    <w:basedOn w:val="Normal"/>
    <w:link w:val="Vnbnnidung"/>
    <w:pPr>
      <w:spacing w:after="80" w:line="257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20"/>
      <w:szCs w:val="20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color w:val="99464E"/>
      <w:sz w:val="17"/>
      <w:szCs w:val="17"/>
      <w:u w:val="none"/>
    </w:rPr>
  </w:style>
  <w:style w:type="paragraph" w:customStyle="1" w:styleId="Vnbnnidung30">
    <w:name w:val="Văn bản nội dung (3)"/>
    <w:basedOn w:val="Normal"/>
    <w:link w:val="Vnbnnidung3"/>
    <w:pPr>
      <w:spacing w:line="283" w:lineRule="auto"/>
    </w:pPr>
    <w:rPr>
      <w:rFonts w:ascii="Arial" w:eastAsia="Arial" w:hAnsi="Arial" w:cs="Arial"/>
      <w:b/>
      <w:bCs/>
      <w:color w:val="99464E"/>
      <w:sz w:val="17"/>
      <w:szCs w:val="17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color w:val="99464E"/>
      <w:sz w:val="26"/>
      <w:szCs w:val="26"/>
      <w:u w:val="none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color w:val="99464E"/>
      <w:sz w:val="26"/>
      <w:szCs w:val="26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u w:val="none"/>
    </w:rPr>
  </w:style>
  <w:style w:type="paragraph" w:customStyle="1" w:styleId="Khc0">
    <w:name w:val="Khác"/>
    <w:basedOn w:val="Normal"/>
    <w:link w:val="Khc"/>
    <w:pPr>
      <w:spacing w:after="80" w:line="257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color w:val="E41717"/>
      <w:sz w:val="9"/>
      <w:szCs w:val="9"/>
      <w:u w:val="none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E41717"/>
      <w:sz w:val="9"/>
      <w:szCs w:val="9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color w:val="E41717"/>
      <w:sz w:val="10"/>
      <w:szCs w:val="10"/>
      <w:u w:val="none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color w:val="E41717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S5sZFy9hqSwXepPRHzKhfwknA==">AMUW2mXaL6kKVuNzbuxQcN8H53JWpn8YBESXXqKUxnW2ioLwNg4FEupObwDfzXqsnf4RhXO+g/6uyAI1U/TqrzykEGkEjAuzK2ZTsrgYWK2GWl7LeJqEQlAZGimPEvZ4b9qmmJB5pwdG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8</cp:revision>
  <dcterms:created xsi:type="dcterms:W3CDTF">2021-09-29T03:07:00Z</dcterms:created>
  <dcterms:modified xsi:type="dcterms:W3CDTF">2021-09-30T04:57:00Z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1F35CCA0082947D1992EAE10A3211E74</vt:lpwstr>
  </property>
</Properties>
</file>